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D1D" w:rsidRPr="007B385E" w:rsidRDefault="00C41D1D" w:rsidP="007B385E">
      <w:pPr>
        <w:spacing w:after="0" w:line="240" w:lineRule="auto"/>
        <w:rPr>
          <w:rFonts w:ascii="Times New Roman" w:hAnsi="Times New Roman" w:cs="Times New Roman"/>
          <w:b/>
          <w:sz w:val="48"/>
          <w:szCs w:val="52"/>
          <w:lang w:eastAsia="pl-PL"/>
        </w:rPr>
      </w:pPr>
      <w:bookmarkStart w:id="0" w:name="_GoBack"/>
      <w:bookmarkEnd w:id="0"/>
      <w:r w:rsidRPr="007B385E">
        <w:rPr>
          <w:rFonts w:ascii="Times New Roman" w:hAnsi="Times New Roman" w:cs="Times New Roman"/>
          <w:b/>
          <w:sz w:val="48"/>
          <w:szCs w:val="52"/>
          <w:lang w:eastAsia="pl-PL"/>
        </w:rPr>
        <w:t>D-01.02.04</w:t>
      </w:r>
    </w:p>
    <w:p w:rsidR="007B385E" w:rsidRPr="007B385E" w:rsidRDefault="007B385E" w:rsidP="007B385E">
      <w:pPr>
        <w:spacing w:after="0" w:line="240" w:lineRule="auto"/>
        <w:rPr>
          <w:rFonts w:ascii="Times New Roman" w:hAnsi="Times New Roman" w:cs="Times New Roman"/>
          <w:b/>
          <w:szCs w:val="36"/>
          <w:lang w:eastAsia="pl-PL"/>
        </w:rPr>
      </w:pPr>
    </w:p>
    <w:p w:rsidR="00C41D1D" w:rsidRPr="007B385E" w:rsidRDefault="00C41D1D" w:rsidP="007B385E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lang w:eastAsia="pl-PL"/>
        </w:rPr>
      </w:pPr>
      <w:r w:rsidRPr="007B385E">
        <w:rPr>
          <w:rFonts w:ascii="Times New Roman" w:hAnsi="Times New Roman" w:cs="Times New Roman"/>
          <w:b/>
          <w:sz w:val="36"/>
          <w:szCs w:val="36"/>
          <w:lang w:eastAsia="pl-PL"/>
        </w:rPr>
        <w:t>ROZBIÓRKA ELEMENTÓW DRÓG</w:t>
      </w:r>
    </w:p>
    <w:p w:rsidR="00C41D1D" w:rsidRDefault="00C41D1D" w:rsidP="000C0E0D">
      <w:pPr>
        <w:rPr>
          <w:rFonts w:ascii="Times New Roman" w:hAnsi="Times New Roman" w:cs="Times New Roman"/>
          <w:sz w:val="20"/>
          <w:szCs w:val="20"/>
          <w:lang w:eastAsia="pl-PL"/>
        </w:rPr>
      </w:pPr>
      <w:r w:rsidRPr="000C0E0D">
        <w:rPr>
          <w:rFonts w:ascii="Times New Roman" w:hAnsi="Times New Roman" w:cs="Times New Roman"/>
          <w:sz w:val="20"/>
          <w:szCs w:val="20"/>
          <w:lang w:eastAsia="pl-PL"/>
        </w:rPr>
        <w:t> </w:t>
      </w:r>
    </w:p>
    <w:p w:rsidR="007B385E" w:rsidRPr="000C0E0D" w:rsidRDefault="007B385E" w:rsidP="000C0E0D">
      <w:pPr>
        <w:rPr>
          <w:rFonts w:ascii="Times New Roman" w:hAnsi="Times New Roman" w:cs="Times New Roman"/>
          <w:sz w:val="20"/>
          <w:szCs w:val="20"/>
          <w:lang w:eastAsia="pl-PL"/>
        </w:rPr>
      </w:pP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bookmarkStart w:id="1" w:name="_1._WSTĘP_4"/>
      <w:bookmarkEnd w:id="1"/>
      <w:r w:rsidRPr="007B385E"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  <w:t>1. WSTĘP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1.1.Przedmiot SST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="00AA775F">
        <w:rPr>
          <w:rFonts w:ascii="Times New Roman" w:hAnsi="Times New Roman" w:cs="Times New Roman"/>
          <w:sz w:val="20"/>
          <w:szCs w:val="20"/>
          <w:lang w:eastAsia="pl-PL"/>
        </w:rPr>
        <w:t>Przedmiotem niniejszej szczegóło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 xml:space="preserve">wej specyfikacji technicznej są wymagania dotyczące wykonania 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i odbioru robót związanych z rozbiórką elementów dróg.</w:t>
      </w:r>
    </w:p>
    <w:p w:rsidR="00C41D1D" w:rsidRPr="007B385E" w:rsidRDefault="00AA775F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1.2</w:t>
      </w:r>
      <w:r w:rsidR="00C41D1D" w:rsidRPr="007B385E">
        <w:rPr>
          <w:rFonts w:ascii="Times New Roman" w:hAnsi="Times New Roman" w:cs="Times New Roman"/>
          <w:sz w:val="20"/>
          <w:szCs w:val="20"/>
          <w:lang w:eastAsia="pl-PL"/>
        </w:rPr>
        <w:t>. Zakres robót objętych OST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Ustalenia zawarte w niniejszej specyfikacji dotyczą zasad prowadzenia robót związanych z rozbiórką:</w:t>
      </w:r>
    </w:p>
    <w:p w:rsidR="00C41D1D" w:rsidRPr="007B385E" w:rsidRDefault="00C41D1D" w:rsidP="00163980">
      <w:pPr>
        <w:pStyle w:val="Akapitzlist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warstw nawierzchni,</w:t>
      </w:r>
    </w:p>
    <w:p w:rsidR="00C41D1D" w:rsidRDefault="00C41D1D" w:rsidP="00163980">
      <w:pPr>
        <w:pStyle w:val="Akapitzlist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krawężników,</w:t>
      </w:r>
    </w:p>
    <w:p w:rsidR="008D400B" w:rsidRPr="008D400B" w:rsidRDefault="008D400B" w:rsidP="008D400B">
      <w:pPr>
        <w:pStyle w:val="Akapitzlist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obrzeży</w:t>
      </w:r>
    </w:p>
    <w:p w:rsidR="00C41D1D" w:rsidRPr="007B385E" w:rsidRDefault="00AA775F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1.3</w:t>
      </w:r>
      <w:r w:rsidR="00C41D1D" w:rsidRPr="007B385E">
        <w:rPr>
          <w:rFonts w:ascii="Times New Roman" w:hAnsi="Times New Roman" w:cs="Times New Roman"/>
          <w:sz w:val="20"/>
          <w:szCs w:val="20"/>
          <w:lang w:eastAsia="pl-PL"/>
        </w:rPr>
        <w:t>. Określenia podstawowe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Stosowane określenia podstawowe są zgodne z obowiązującymi, odpowiednimi polskimi normami oraz z definicjami podanymi w OST D-M-00.00.00 „Wymagania ogólne” pkt 1.4.</w:t>
      </w:r>
    </w:p>
    <w:p w:rsidR="00C41D1D" w:rsidRPr="007B385E" w:rsidRDefault="00AA775F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1.4</w:t>
      </w:r>
      <w:r w:rsidR="00C41D1D" w:rsidRPr="007B385E">
        <w:rPr>
          <w:rFonts w:ascii="Times New Roman" w:hAnsi="Times New Roman" w:cs="Times New Roman"/>
          <w:sz w:val="20"/>
          <w:szCs w:val="20"/>
          <w:lang w:eastAsia="pl-PL"/>
        </w:rPr>
        <w:t>. Ogólne wymagania dotyczące robót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Ogólne wymagania dotyczące robót podano w OST D-M-00.00.00 „Wymagania ogólne” pkt 1.5.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bookmarkStart w:id="2" w:name="_2._MATERIAŁY_4"/>
      <w:bookmarkEnd w:id="2"/>
      <w:r w:rsidRPr="007B385E"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  <w:t>2. MATERIAŁY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2.1. Ogólne wymagania dotyczące materiałów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Ogólne wymagania dotyczące materiałów, ich pozyskiwania i składowania, podano w OST D-M-00.00.00 „Wymagania ogólne” pkt 2.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bookmarkStart w:id="3" w:name="_3._SPRZĘT_4"/>
      <w:bookmarkEnd w:id="3"/>
      <w:r w:rsidRPr="007B385E"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  <w:t>3. SPRZĘT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3.1. Ogólne wymagania dotyczące sprzętu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Ogólne wymagania dotyczące sprzętu podano w OST D-M-00.00.00 „Wymagania ogólne” pkt 3.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3.2. Sprzęt do rozbiórki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Do wykonania robót związanych z rozbiórką elementów dróg, ogrodzeń i przepustów może być wykorzystany sprzęt podany poniżej, lub inny zaakceptowany przez Inżyniera:</w:t>
      </w:r>
    </w:p>
    <w:p w:rsidR="00C41D1D" w:rsidRPr="007B385E" w:rsidRDefault="00C41D1D" w:rsidP="00163980">
      <w:pPr>
        <w:pStyle w:val="Akapitzlist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spycharki,</w:t>
      </w:r>
    </w:p>
    <w:p w:rsidR="00C41D1D" w:rsidRPr="007B385E" w:rsidRDefault="00C41D1D" w:rsidP="00163980">
      <w:pPr>
        <w:pStyle w:val="Akapitzlist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ładowarki,</w:t>
      </w:r>
    </w:p>
    <w:p w:rsidR="00C41D1D" w:rsidRPr="007B385E" w:rsidRDefault="00C41D1D" w:rsidP="00163980">
      <w:pPr>
        <w:pStyle w:val="Akapitzlist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14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żurawie samochodowe,</w:t>
      </w:r>
    </w:p>
    <w:p w:rsidR="00C41D1D" w:rsidRPr="007B385E" w:rsidRDefault="00C41D1D" w:rsidP="00163980">
      <w:pPr>
        <w:pStyle w:val="Akapitzlist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samochody ciężarowe,</w:t>
      </w:r>
    </w:p>
    <w:p w:rsidR="00C41D1D" w:rsidRPr="007B385E" w:rsidRDefault="00C41D1D" w:rsidP="00163980">
      <w:pPr>
        <w:pStyle w:val="Akapitzlist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zrywarki,</w:t>
      </w:r>
    </w:p>
    <w:p w:rsidR="00C41D1D" w:rsidRPr="007B385E" w:rsidRDefault="00C41D1D" w:rsidP="00163980">
      <w:pPr>
        <w:pStyle w:val="Akapitzlist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14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młoty pneumatyczne,</w:t>
      </w:r>
    </w:p>
    <w:p w:rsidR="00C41D1D" w:rsidRPr="007B385E" w:rsidRDefault="00C41D1D" w:rsidP="00163980">
      <w:pPr>
        <w:pStyle w:val="Akapitzlist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piły mechaniczne,</w:t>
      </w:r>
    </w:p>
    <w:p w:rsidR="00C41D1D" w:rsidRPr="007B385E" w:rsidRDefault="00C41D1D" w:rsidP="00163980">
      <w:pPr>
        <w:pStyle w:val="Akapitzlist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frezarki nawierzchni,</w:t>
      </w:r>
    </w:p>
    <w:p w:rsidR="00C41D1D" w:rsidRPr="007B385E" w:rsidRDefault="00C41D1D" w:rsidP="00163980">
      <w:pPr>
        <w:pStyle w:val="Akapitzlist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koparki.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bookmarkStart w:id="4" w:name="_4._TRANSPORT_4"/>
      <w:bookmarkEnd w:id="4"/>
      <w:r w:rsidRPr="007B385E"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  <w:t>4. TRANSPORT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4.1. Ogólne wymagania dotyczące transportu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Ogólne wymagania dotyczące transportu podano w OST D-M-00.00.00 „Wymagania ogólne” pkt 4.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4.2. Transport materiałów z rozbiórki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Materiał z rozbiórki można przewozić dowolnym środkiem transportu.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bookmarkStart w:id="5" w:name="_5._WYKONANIE_ROBÓT_4"/>
      <w:bookmarkEnd w:id="5"/>
      <w:r w:rsidRPr="007B385E"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  <w:lastRenderedPageBreak/>
        <w:t>5. WYKONANIE ROBÓT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5.1. Ogólne zasady wykonania robót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Ogólne zasady wykonania robót podano w OST D-M-00.00.00 „Wymagania ogólne” pkt 5.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5.2. Wykonanie robót rozbiórkowych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Roboty rozbiórkowe elementów dróg, ogrodzeń i przepustów obejmują usunięcie z terenu budowy wszystkich elementów wymienionych w pkt 1.3, zgodnie z dokumentacją projektową, SST lub wskazanych przez Inżyniera.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Jeśli dokumentacja projektowa nie zawiera dokumentacji inwentaryzacyjnej lub/i rozbiórkowej, Inżynier może polecić Wykonawcy sporządzenie takiej dokumentacji, w której zostanie określony przewidziany odzysk materiałów.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Roboty rozbiórkowe można wykonywać mechanicznie lub ręcznie w sposób określony w SST lub przez Inżyniera.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W przypadku usuwania warstw nawierzchni z zastosowaniem frezarek drogowych, należy spełnić warunki określone w OST D-05.03.11 „Recykling”.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Wszystkie elementy możliwe do powtórnego wykorzystania powinny być usuwane bez powodowania zbędnych uszkodzeń. O ile uzyskane elementy nie stają się własnością Wykonawcy, powinien on przewieźć je na miejsce określone w SST lub wskazane przez Inżyniera.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Elementy i materiały, które zgodnie z SST stają się własnością Wykonawcy, powinny być usunięte z terenu budowy.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Doły (wykopy) powstałe po rozbiórce elementów dróg, ogrodzeń i przepustów znajdujące się w miejscach, gdzie zgodnie z dokumentacją projektową będą wykonane wykopy drogowe, powinny być tymczasowo zabezpieczone. W szczególności należy zapobiec gromadzeniu się w nich wody opadowej.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Doły w miejscach, gdzie nie przewiduje się wykonania wykopów drogowych należy wypełnić, warstwami, odpowiednim gruntem do poziomu otaczającego terenu i zagęścić zgodnie z wymaganiami określonymi w OST D-02.00.00 „Roboty ziemne”.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bookmarkStart w:id="6" w:name="_6._KONTROLA_JAKOŚCI_4"/>
      <w:bookmarkEnd w:id="6"/>
      <w:r w:rsidRPr="007B385E"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  <w:t>6. KONTROLA JAKOŚCI ROBÓT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6.1. Ogólne zasady kontroli jakości robót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Ogólne zasady kontroli jakości robót podano w OST D-M-00.00.00 „Wymagania ogólne” pkt 6.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6.2. Kontrola jakości robót rozbiórkowych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Kontrola jakości robót polega na wizualnej ocenie kompletności wykonanych robót rozbiórkowych oraz sprawdzeniu stopnia uszkodzenia elementów przewidzianych do powtórnego wykorzystania.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Zagęszczenie gruntu wypełniającego ewentualne doły po usuniętych elementach nawierzchni, ogrodzeń i przepustów powinno spełniać odpowiednie wymagania określone w OST D-02.00.00 „Roboty ziemne”.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bookmarkStart w:id="7" w:name="_7._OBMIAR_ROBÓT_4"/>
      <w:bookmarkEnd w:id="7"/>
      <w:r w:rsidRPr="007B385E"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  <w:t>7. OBMIAR ROBÓT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7.1. Ogólne zasady obmiaru robót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Ogólne zasady obmiaru robót podano w OST D-M-00.00.00 „Wymagania ogólne” pkt 7.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7.2. Jednostka obmiarowa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Jednostką obmiarową robót związanych z rozbiórką elementów dróg i ogrodzeń jest:</w:t>
      </w:r>
    </w:p>
    <w:p w:rsidR="00C41D1D" w:rsidRPr="007B385E" w:rsidRDefault="00C41D1D" w:rsidP="00163980">
      <w:pPr>
        <w:pStyle w:val="Akapitzlist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dla nawierzchni - m</w:t>
      </w:r>
      <w:r w:rsidRPr="007B385E">
        <w:rPr>
          <w:rFonts w:ascii="Times New Roman" w:hAnsi="Times New Roman" w:cs="Times New Roman"/>
          <w:sz w:val="20"/>
          <w:szCs w:val="20"/>
          <w:vertAlign w:val="superscript"/>
          <w:lang w:eastAsia="pl-PL"/>
        </w:rPr>
        <w:t>2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(metr kwadratowy),</w:t>
      </w:r>
    </w:p>
    <w:p w:rsidR="00C41D1D" w:rsidRPr="007B385E" w:rsidRDefault="00C41D1D" w:rsidP="00163980">
      <w:pPr>
        <w:pStyle w:val="Akapitzlist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dla krawężnika</w:t>
      </w:r>
      <w:r w:rsidR="008D400B">
        <w:rPr>
          <w:rFonts w:ascii="Times New Roman" w:hAnsi="Times New Roman" w:cs="Times New Roman"/>
          <w:sz w:val="20"/>
          <w:szCs w:val="20"/>
          <w:lang w:eastAsia="pl-PL"/>
        </w:rPr>
        <w:t xml:space="preserve"> i obrzeży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 xml:space="preserve"> - m (metr),</w:t>
      </w:r>
    </w:p>
    <w:p w:rsidR="00C41D1D" w:rsidRPr="007B385E" w:rsidRDefault="00C41D1D" w:rsidP="00163980">
      <w:pPr>
        <w:pStyle w:val="Akapitzlist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dla ław krawężnikowych - m</w:t>
      </w:r>
      <w:r w:rsidRPr="007B385E">
        <w:rPr>
          <w:rFonts w:ascii="Times New Roman" w:hAnsi="Times New Roman" w:cs="Times New Roman"/>
          <w:sz w:val="20"/>
          <w:szCs w:val="20"/>
          <w:vertAlign w:val="superscript"/>
          <w:lang w:eastAsia="pl-PL"/>
        </w:rPr>
        <w:t xml:space="preserve">3 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(metr sześcienny)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bookmarkStart w:id="8" w:name="_8._ODBIÓR_ROBÓT_4"/>
      <w:bookmarkEnd w:id="8"/>
      <w:r w:rsidRPr="007B385E"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  <w:t>8. ODBIÓR ROBÓT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Ogólne zasady odbioru robót podano w OST D-M-00.00.00 „Wymagania ogólne” pkt 8.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bookmarkStart w:id="9" w:name="_9._PODSTAWA_PŁATNOŚCI_4"/>
      <w:bookmarkEnd w:id="9"/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</w:p>
    <w:p w:rsidR="007B385E" w:rsidRDefault="007B385E" w:rsidP="000C0E0D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  <w:lastRenderedPageBreak/>
        <w:t>9. PODSTAWA PŁATNOŚCI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9.1. Ogólne ustalenia dotyczące podstawy płatności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Ogólne ustalenia dotyczące podstawy płatności podano w OST D-M-00.00.00 „Wymagania ogólne” pkt 9.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9.2. Cena jednostki obmiarowej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        </w:t>
      </w:r>
      <w:r w:rsidRPr="007B385E">
        <w:rPr>
          <w:rFonts w:ascii="Times New Roman" w:hAnsi="Times New Roman" w:cs="Times New Roman"/>
          <w:sz w:val="20"/>
          <w:lang w:eastAsia="pl-PL"/>
        </w:rPr>
        <w:t> </w:t>
      </w:r>
      <w:r w:rsidRPr="007B385E">
        <w:rPr>
          <w:rFonts w:ascii="Times New Roman" w:hAnsi="Times New Roman" w:cs="Times New Roman"/>
          <w:sz w:val="20"/>
          <w:szCs w:val="20"/>
          <w:lang w:eastAsia="pl-PL"/>
        </w:rPr>
        <w:t>Cena wykonania robót obejmuje: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a) dla rozbiórki warstw nawierzchni:</w:t>
      </w:r>
    </w:p>
    <w:p w:rsidR="00C41D1D" w:rsidRPr="007B385E" w:rsidRDefault="00C41D1D" w:rsidP="00163980">
      <w:pPr>
        <w:pStyle w:val="Akapitzlist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wyznaczenie powierzchni przeznaczonej do rozbiórki,</w:t>
      </w:r>
    </w:p>
    <w:p w:rsidR="00C41D1D" w:rsidRPr="007B385E" w:rsidRDefault="00C41D1D" w:rsidP="00163980">
      <w:pPr>
        <w:pStyle w:val="Akapitzlist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rozkucie i zerwanie nawierzchni,</w:t>
      </w:r>
    </w:p>
    <w:p w:rsidR="00C41D1D" w:rsidRPr="007B385E" w:rsidRDefault="00C41D1D" w:rsidP="00163980">
      <w:pPr>
        <w:pStyle w:val="Akapitzlist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ew. przesortowanie materiału uzyskanego z rozbiórki, w celu ponownego jej użycia, z ułożeniem na poboczu,</w:t>
      </w:r>
    </w:p>
    <w:p w:rsidR="00C41D1D" w:rsidRPr="007B385E" w:rsidRDefault="00C41D1D" w:rsidP="00163980">
      <w:pPr>
        <w:pStyle w:val="Akapitzlist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załadunek i wywiezienie materiałów z rozbiórki,</w:t>
      </w:r>
    </w:p>
    <w:p w:rsidR="00C41D1D" w:rsidRPr="007B385E" w:rsidRDefault="00C41D1D" w:rsidP="00163980">
      <w:pPr>
        <w:pStyle w:val="Akapitzlist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wyrównanie podłoża i uporządkowanie terenu rozbiórki;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b) dla rozbiórki krawężników:</w:t>
      </w:r>
    </w:p>
    <w:p w:rsidR="00C41D1D" w:rsidRPr="007B385E" w:rsidRDefault="00C41D1D" w:rsidP="00163980">
      <w:pPr>
        <w:pStyle w:val="Akapitzlist"/>
        <w:numPr>
          <w:ilvl w:val="0"/>
          <w:numId w:val="5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odkopanie krawężników, obrzeży i oporników wraz z wyjęciem i oczyszczeniem,</w:t>
      </w:r>
    </w:p>
    <w:p w:rsidR="00C41D1D" w:rsidRPr="007B385E" w:rsidRDefault="00C41D1D" w:rsidP="00163980">
      <w:pPr>
        <w:pStyle w:val="Akapitzlist"/>
        <w:numPr>
          <w:ilvl w:val="0"/>
          <w:numId w:val="5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zerwanie podsypki cementowo-piaskowej i ław,</w:t>
      </w:r>
    </w:p>
    <w:p w:rsidR="00C41D1D" w:rsidRPr="007B385E" w:rsidRDefault="00C41D1D" w:rsidP="00163980">
      <w:pPr>
        <w:pStyle w:val="Akapitzlist"/>
        <w:numPr>
          <w:ilvl w:val="0"/>
          <w:numId w:val="5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załadunek i wywiezienie materiału z rozbiórki,</w:t>
      </w:r>
    </w:p>
    <w:p w:rsidR="00C41D1D" w:rsidRPr="007B385E" w:rsidRDefault="00C41D1D" w:rsidP="00163980">
      <w:pPr>
        <w:pStyle w:val="Akapitzlist"/>
        <w:numPr>
          <w:ilvl w:val="0"/>
          <w:numId w:val="5"/>
        </w:num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wyrównanie podłoża i uporządkowanie terenu rozbiórki;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</w:pPr>
      <w:bookmarkStart w:id="10" w:name="_10._PRZEPISY_ZWIĄZANE_4"/>
      <w:bookmarkEnd w:id="10"/>
      <w:r w:rsidRPr="007B385E">
        <w:rPr>
          <w:rFonts w:ascii="Times New Roman" w:hAnsi="Times New Roman" w:cs="Times New Roman"/>
          <w:caps/>
          <w:kern w:val="36"/>
          <w:sz w:val="20"/>
          <w:szCs w:val="20"/>
          <w:lang w:eastAsia="pl-PL"/>
        </w:rPr>
        <w:t>10. PRZEPISY ZWIĄZANE</w:t>
      </w:r>
    </w:p>
    <w:p w:rsidR="00C41D1D" w:rsidRPr="007B385E" w:rsidRDefault="00C41D1D" w:rsidP="000C0E0D">
      <w:pPr>
        <w:spacing w:after="12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7B385E">
        <w:rPr>
          <w:rFonts w:ascii="Times New Roman" w:hAnsi="Times New Roman" w:cs="Times New Roman"/>
          <w:sz w:val="20"/>
          <w:szCs w:val="20"/>
          <w:lang w:eastAsia="pl-PL"/>
        </w:rPr>
        <w:t>Normy</w:t>
      </w:r>
    </w:p>
    <w:tbl>
      <w:tblPr>
        <w:tblW w:w="0" w:type="auto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2551"/>
        <w:gridCol w:w="5450"/>
      </w:tblGrid>
      <w:tr w:rsidR="00C41D1D" w:rsidRPr="007B385E" w:rsidTr="009A4743">
        <w:tc>
          <w:tcPr>
            <w:tcW w:w="496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551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PN-D-95017</w:t>
            </w:r>
          </w:p>
        </w:tc>
        <w:tc>
          <w:tcPr>
            <w:tcW w:w="5450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Surowiec drzewny. Drewno tartaczne iglaste.</w:t>
            </w:r>
          </w:p>
        </w:tc>
      </w:tr>
      <w:tr w:rsidR="00C41D1D" w:rsidRPr="007B385E" w:rsidTr="009A4743">
        <w:tc>
          <w:tcPr>
            <w:tcW w:w="496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551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PN-D-96000</w:t>
            </w:r>
          </w:p>
        </w:tc>
        <w:tc>
          <w:tcPr>
            <w:tcW w:w="5450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Tarcica iglasta ogólnego przeznaczenia</w:t>
            </w:r>
          </w:p>
        </w:tc>
      </w:tr>
      <w:tr w:rsidR="00C41D1D" w:rsidRPr="007B385E" w:rsidTr="009A4743">
        <w:tc>
          <w:tcPr>
            <w:tcW w:w="496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551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PN-D-96002</w:t>
            </w:r>
          </w:p>
        </w:tc>
        <w:tc>
          <w:tcPr>
            <w:tcW w:w="5450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Tarcica liściasta ogólnego przeznaczenia</w:t>
            </w:r>
          </w:p>
        </w:tc>
      </w:tr>
      <w:tr w:rsidR="00C41D1D" w:rsidRPr="007B385E" w:rsidTr="009A4743">
        <w:tc>
          <w:tcPr>
            <w:tcW w:w="496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551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PN-H-74219</w:t>
            </w:r>
          </w:p>
        </w:tc>
        <w:tc>
          <w:tcPr>
            <w:tcW w:w="5450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Rury stalowe bez szwu walcowane na gorąco ogólnego stosowania</w:t>
            </w:r>
          </w:p>
        </w:tc>
      </w:tr>
      <w:tr w:rsidR="00C41D1D" w:rsidRPr="007B385E" w:rsidTr="009A4743">
        <w:tc>
          <w:tcPr>
            <w:tcW w:w="496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551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PN-H-74220</w:t>
            </w:r>
          </w:p>
        </w:tc>
        <w:tc>
          <w:tcPr>
            <w:tcW w:w="5450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Rury stalowe bez szwu ciągnione i walcowane na zimno ogólnego przeznaczenia</w:t>
            </w:r>
          </w:p>
        </w:tc>
      </w:tr>
      <w:tr w:rsidR="00C41D1D" w:rsidRPr="007B385E" w:rsidTr="009A4743">
        <w:tc>
          <w:tcPr>
            <w:tcW w:w="496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2551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PN-H-93401</w:t>
            </w:r>
          </w:p>
        </w:tc>
        <w:tc>
          <w:tcPr>
            <w:tcW w:w="5450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Stal walcowana. Kątowniki równoramienne</w:t>
            </w:r>
          </w:p>
        </w:tc>
      </w:tr>
      <w:tr w:rsidR="00C41D1D" w:rsidRPr="007B385E" w:rsidTr="009A4743">
        <w:tc>
          <w:tcPr>
            <w:tcW w:w="496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2551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PN-H-93402</w:t>
            </w:r>
          </w:p>
        </w:tc>
        <w:tc>
          <w:tcPr>
            <w:tcW w:w="5450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Kątowniki nierównoramienne stalowe walcowane na gorąco</w:t>
            </w:r>
          </w:p>
        </w:tc>
      </w:tr>
      <w:tr w:rsidR="00C41D1D" w:rsidRPr="007B385E" w:rsidTr="009A4743">
        <w:tc>
          <w:tcPr>
            <w:tcW w:w="496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2551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BN-87/5028-12</w:t>
            </w:r>
          </w:p>
        </w:tc>
        <w:tc>
          <w:tcPr>
            <w:tcW w:w="5450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Gwoździe budowlane. Gwoździe z trzpieniem gładkim, okrągłym i kwadratowym</w:t>
            </w:r>
          </w:p>
        </w:tc>
      </w:tr>
      <w:tr w:rsidR="00C41D1D" w:rsidRPr="007B385E" w:rsidTr="009A4743">
        <w:tc>
          <w:tcPr>
            <w:tcW w:w="496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2551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BN-77/8931-12</w:t>
            </w:r>
          </w:p>
        </w:tc>
        <w:tc>
          <w:tcPr>
            <w:tcW w:w="5450" w:type="dxa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41D1D" w:rsidRPr="007B385E" w:rsidRDefault="00C41D1D" w:rsidP="000C0E0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B38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Oznaczenie wskaźnika zagęszczenia gruntu.</w:t>
            </w:r>
          </w:p>
        </w:tc>
      </w:tr>
    </w:tbl>
    <w:p w:rsidR="00E2797E" w:rsidRPr="007B385E" w:rsidRDefault="00E2797E" w:rsidP="000C0E0D">
      <w:pPr>
        <w:spacing w:after="120" w:line="240" w:lineRule="auto"/>
        <w:rPr>
          <w:rFonts w:ascii="Times New Roman" w:hAnsi="Times New Roman" w:cs="Times New Roman"/>
        </w:rPr>
      </w:pPr>
    </w:p>
    <w:sectPr w:rsidR="00E2797E" w:rsidRPr="007B385E" w:rsidSect="002F7F5F">
      <w:footerReference w:type="default" r:id="rId8"/>
      <w:pgSz w:w="11906" w:h="16838"/>
      <w:pgMar w:top="1417" w:right="1417" w:bottom="1417" w:left="1417" w:header="708" w:footer="0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C33" w:rsidRDefault="00781C33" w:rsidP="00105BDA">
      <w:pPr>
        <w:spacing w:after="0" w:line="240" w:lineRule="auto"/>
      </w:pPr>
      <w:r>
        <w:separator/>
      </w:r>
    </w:p>
  </w:endnote>
  <w:endnote w:type="continuationSeparator" w:id="0">
    <w:p w:rsidR="00781C33" w:rsidRDefault="00781C33" w:rsidP="00105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49542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C7374" w:rsidRDefault="000C7374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7F5F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105BDA" w:rsidRDefault="00105BD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C33" w:rsidRDefault="00781C33" w:rsidP="00105BDA">
      <w:pPr>
        <w:spacing w:after="0" w:line="240" w:lineRule="auto"/>
      </w:pPr>
      <w:r>
        <w:separator/>
      </w:r>
    </w:p>
  </w:footnote>
  <w:footnote w:type="continuationSeparator" w:id="0">
    <w:p w:rsidR="00781C33" w:rsidRDefault="00781C33" w:rsidP="00105B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B4A34"/>
    <w:multiLevelType w:val="hybridMultilevel"/>
    <w:tmpl w:val="D6B0D3D8"/>
    <w:lvl w:ilvl="0" w:tplc="29F85B3C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77B92"/>
    <w:multiLevelType w:val="hybridMultilevel"/>
    <w:tmpl w:val="D9F8884A"/>
    <w:lvl w:ilvl="0" w:tplc="29F85B3C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BB3A67"/>
    <w:multiLevelType w:val="hybridMultilevel"/>
    <w:tmpl w:val="7BDABB0A"/>
    <w:lvl w:ilvl="0" w:tplc="29F85B3C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C57F40"/>
    <w:multiLevelType w:val="hybridMultilevel"/>
    <w:tmpl w:val="142C2674"/>
    <w:lvl w:ilvl="0" w:tplc="29F85B3C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1056C0"/>
    <w:multiLevelType w:val="hybridMultilevel"/>
    <w:tmpl w:val="B1C41D9C"/>
    <w:lvl w:ilvl="0" w:tplc="29F85B3C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1D1D"/>
    <w:rsid w:val="000C0E0D"/>
    <w:rsid w:val="000C7374"/>
    <w:rsid w:val="00105BDA"/>
    <w:rsid w:val="001405BB"/>
    <w:rsid w:val="00163980"/>
    <w:rsid w:val="00261543"/>
    <w:rsid w:val="002F7F5F"/>
    <w:rsid w:val="00617C6B"/>
    <w:rsid w:val="006F23D2"/>
    <w:rsid w:val="00781C33"/>
    <w:rsid w:val="007B385E"/>
    <w:rsid w:val="008D400B"/>
    <w:rsid w:val="009A4743"/>
    <w:rsid w:val="00AA775F"/>
    <w:rsid w:val="00BB5304"/>
    <w:rsid w:val="00BC4C07"/>
    <w:rsid w:val="00C41D1D"/>
    <w:rsid w:val="00D329B7"/>
    <w:rsid w:val="00DC4375"/>
    <w:rsid w:val="00E2797E"/>
    <w:rsid w:val="00E7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797E"/>
  </w:style>
  <w:style w:type="paragraph" w:styleId="Nagwek1">
    <w:name w:val="heading 1"/>
    <w:basedOn w:val="Normalny"/>
    <w:link w:val="Nagwek1Znak"/>
    <w:uiPriority w:val="9"/>
    <w:qFormat/>
    <w:rsid w:val="00C41D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41D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1D1D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41D1D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standardowytekst">
    <w:name w:val="standardowytekst"/>
    <w:basedOn w:val="Normalny"/>
    <w:rsid w:val="00C41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41D1D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C41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41D1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C41D1D"/>
  </w:style>
  <w:style w:type="paragraph" w:styleId="Akapitzlist">
    <w:name w:val="List Paragraph"/>
    <w:basedOn w:val="Normalny"/>
    <w:uiPriority w:val="34"/>
    <w:qFormat/>
    <w:rsid w:val="0016398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5B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5B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6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7643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866</Words>
  <Characters>5200</Characters>
  <Application>Microsoft Office Word</Application>
  <DocSecurity>0</DocSecurity>
  <Lines>43</Lines>
  <Paragraphs>12</Paragraphs>
  <ScaleCrop>false</ScaleCrop>
  <Company/>
  <LinksUpToDate>false</LinksUpToDate>
  <CharactersWithSpaces>6054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Bakalarski</dc:creator>
  <cp:keywords/>
  <dc:description/>
  <cp:lastModifiedBy>admin</cp:lastModifiedBy>
  <cp:revision>11</cp:revision>
  <dcterms:created xsi:type="dcterms:W3CDTF">2017-01-27T05:49:00Z</dcterms:created>
  <dcterms:modified xsi:type="dcterms:W3CDTF">2019-04-25T10:06:00Z</dcterms:modified>
</cp:coreProperties>
</file>